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2"/>
        </w:rPr>
      </w:pPr>
    </w:p>
    <w:p>
      <w:pPr>
        <w:pStyle w:val="BodyText"/>
        <w:spacing w:line="240" w:lineRule="auto"/>
        <w:ind w:left="0"/>
        <w:rPr>
          <w:rFonts w:ascii="Times New Roman"/>
          <w:sz w:val="22"/>
        </w:rPr>
      </w:pPr>
    </w:p>
    <w:p>
      <w:pPr>
        <w:pStyle w:val="BodyText"/>
        <w:spacing w:line="240" w:lineRule="auto" w:before="4"/>
        <w:ind w:left="0"/>
        <w:rPr>
          <w:rFonts w:ascii="Times New Roman"/>
          <w:sz w:val="17"/>
        </w:rPr>
      </w:pPr>
    </w:p>
    <w:p>
      <w:pPr>
        <w:pStyle w:val="BodyText"/>
        <w:spacing w:line="379" w:lineRule="exact"/>
      </w:pPr>
      <w:r>
        <w:rPr>
          <w:w w:val="91"/>
        </w:rPr>
        <w:t> </w:t>
      </w:r>
    </w:p>
    <w:p>
      <w:pPr>
        <w:pStyle w:val="BodyText"/>
        <w:spacing w:line="379" w:lineRule="exact"/>
      </w:pPr>
      <w:r>
        <w:rPr/>
        <w:t>（名称）</w:t>
      </w:r>
      <w:r>
        <w:rPr>
          <w:w w:val="91"/>
        </w:rPr>
        <w:t> </w:t>
      </w:r>
    </w:p>
    <w:p>
      <w:pPr>
        <w:pStyle w:val="BodyText"/>
        <w:spacing w:line="240" w:lineRule="auto" w:before="5"/>
        <w:ind w:left="0"/>
        <w:rPr>
          <w:sz w:val="18"/>
        </w:rPr>
      </w:pPr>
      <w:r>
        <w:rPr/>
        <w:br w:type="column"/>
      </w:r>
      <w:r>
        <w:rPr>
          <w:sz w:val="18"/>
        </w:rPr>
      </w:r>
    </w:p>
    <w:p>
      <w:pPr>
        <w:pStyle w:val="BodyText"/>
        <w:spacing w:line="240" w:lineRule="auto"/>
      </w:pPr>
      <w:r>
        <w:rPr/>
        <w:t>特定非営利活動法人日本小児がん研究グループ   財務基盤委員会規程</w:t>
      </w:r>
      <w:r>
        <w:rPr>
          <w:w w:val="91"/>
        </w:rPr>
        <w:t> </w:t>
      </w:r>
    </w:p>
    <w:p>
      <w:pPr>
        <w:pStyle w:val="BodyText"/>
        <w:spacing w:line="383" w:lineRule="exact"/>
      </w:pPr>
      <w:r>
        <w:rPr/>
        <w:br w:type="column"/>
      </w:r>
      <w:r>
        <w:rPr/>
        <w:t>Ver1.0</w:t>
      </w:r>
      <w:r>
        <w:rPr>
          <w:w w:val="91"/>
        </w:rPr>
        <w:t> </w:t>
      </w:r>
    </w:p>
    <w:p>
      <w:pPr>
        <w:spacing w:after="0" w:line="383" w:lineRule="exact"/>
        <w:sectPr>
          <w:type w:val="continuous"/>
          <w:pgSz w:w="11910" w:h="16840"/>
          <w:pgMar w:top="1420" w:bottom="280" w:left="980" w:right="860"/>
          <w:cols w:num="3" w:equalWidth="0">
            <w:col w:w="1036" w:space="580"/>
            <w:col w:w="6711" w:space="800"/>
            <w:col w:w="943"/>
          </w:cols>
        </w:sectPr>
      </w:pPr>
    </w:p>
    <w:p>
      <w:pPr>
        <w:pStyle w:val="BodyText"/>
        <w:spacing w:line="218" w:lineRule="auto"/>
        <w:ind w:left="520" w:right="105" w:hanging="421"/>
      </w:pPr>
      <w:r>
        <w:rPr>
          <w:spacing w:val="10"/>
        </w:rPr>
        <w:t>第 </w:t>
      </w:r>
      <w:r>
        <w:rPr/>
        <w:t>1 条 この委員会は、日本小児がん研究グループ（以下「JCCG</w:t>
      </w:r>
      <w:r>
        <w:rPr>
          <w:spacing w:val="-108"/>
        </w:rPr>
        <w:t>」</w:t>
      </w:r>
      <w:r>
        <w:rPr/>
        <w:t>）財務基盤委員会（</w:t>
      </w:r>
      <w:r>
        <w:rPr>
          <w:spacing w:val="-16"/>
        </w:rPr>
        <w:t>以下「委員会」</w:t>
      </w:r>
      <w:r>
        <w:rPr/>
        <w:t>）</w:t>
      </w:r>
      <w:r>
        <w:rPr>
          <w:spacing w:val="-57"/>
        </w:rPr>
        <w:t> </w:t>
      </w:r>
      <w:r>
        <w:rPr/>
        <w:t>という。</w:t>
      </w:r>
      <w:r>
        <w:rPr>
          <w:w w:val="91"/>
        </w:rPr>
        <w:t> </w:t>
      </w:r>
    </w:p>
    <w:p>
      <w:pPr>
        <w:pStyle w:val="BodyText"/>
        <w:spacing w:line="351" w:lineRule="exact"/>
      </w:pPr>
      <w:r>
        <w:rPr/>
        <w:t>（目的）</w:t>
      </w:r>
      <w:r>
        <w:rPr>
          <w:w w:val="91"/>
        </w:rPr>
        <w:t> </w:t>
      </w:r>
    </w:p>
    <w:p>
      <w:pPr>
        <w:pStyle w:val="BodyText"/>
        <w:spacing w:line="218" w:lineRule="auto"/>
        <w:ind w:left="520" w:right="211" w:hanging="421"/>
      </w:pPr>
      <w:r>
        <w:rPr>
          <w:spacing w:val="5"/>
        </w:rPr>
        <w:t>第 </w:t>
      </w:r>
      <w:r>
        <w:rPr/>
        <w:t>2 条 日本小児がん研究グループ定款第 5 条に基づき、JCCG の持続的で安定的な財務基盤を構築することを目的とする。</w:t>
      </w:r>
      <w:r>
        <w:rPr>
          <w:w w:val="91"/>
        </w:rPr>
        <w:t> </w:t>
      </w:r>
    </w:p>
    <w:p>
      <w:pPr>
        <w:pStyle w:val="BodyText"/>
        <w:spacing w:line="352" w:lineRule="exact"/>
      </w:pPr>
      <w:r>
        <w:rPr/>
        <w:t>（業務）</w:t>
      </w:r>
      <w:r>
        <w:rPr>
          <w:w w:val="91"/>
        </w:rPr>
        <w:t> </w:t>
      </w:r>
    </w:p>
    <w:p>
      <w:pPr>
        <w:pStyle w:val="BodyText"/>
      </w:pPr>
      <w:r>
        <w:rPr>
          <w:spacing w:val="-4"/>
        </w:rPr>
        <w:t>第 </w:t>
      </w:r>
      <w:r>
        <w:rPr/>
        <w:t>3 条 委員会が取り扱う業務は以下の通りとする。</w:t>
      </w:r>
      <w:r>
        <w:rPr>
          <w:w w:val="91"/>
        </w:rPr>
        <w:t> </w:t>
      </w:r>
    </w:p>
    <w:p>
      <w:pPr>
        <w:pStyle w:val="BodyText"/>
        <w:ind w:left="520"/>
      </w:pPr>
      <w:r>
        <w:rPr/>
        <w:t>１）財務基盤の戦略的企画立案</w:t>
      </w:r>
      <w:r>
        <w:rPr>
          <w:w w:val="91"/>
        </w:rPr>
        <w:t> </w:t>
      </w:r>
    </w:p>
    <w:p>
      <w:pPr>
        <w:pStyle w:val="ListParagraph"/>
        <w:numPr>
          <w:ilvl w:val="0"/>
          <w:numId w:val="1"/>
        </w:numPr>
        <w:tabs>
          <w:tab w:pos="1239" w:val="left" w:leader="none"/>
        </w:tabs>
        <w:spacing w:line="360" w:lineRule="exact" w:before="0" w:after="0"/>
        <w:ind w:left="1238" w:right="0" w:hanging="299"/>
        <w:jc w:val="left"/>
        <w:rPr>
          <w:sz w:val="21"/>
        </w:rPr>
      </w:pPr>
      <w:r>
        <w:rPr>
          <w:sz w:val="21"/>
        </w:rPr>
        <w:t>共催セミナーの企画・運営</w:t>
      </w:r>
      <w:r>
        <w:rPr>
          <w:w w:val="91"/>
          <w:sz w:val="21"/>
        </w:rPr>
        <w:t> </w:t>
      </w:r>
    </w:p>
    <w:p>
      <w:pPr>
        <w:pStyle w:val="ListParagraph"/>
        <w:numPr>
          <w:ilvl w:val="0"/>
          <w:numId w:val="1"/>
        </w:numPr>
        <w:tabs>
          <w:tab w:pos="1239" w:val="left" w:leader="none"/>
        </w:tabs>
        <w:spacing w:line="218" w:lineRule="auto" w:before="0" w:after="0"/>
        <w:ind w:left="1254" w:right="182" w:hanging="315"/>
        <w:jc w:val="left"/>
        <w:rPr>
          <w:sz w:val="21"/>
        </w:rPr>
      </w:pPr>
      <w:r>
        <w:rPr>
          <w:sz w:val="21"/>
        </w:rPr>
        <w:t>JCCG への財務支援を検討する企業・団体・個人に向けた渉外活動及び寄附金獲得活動を 関</w:t>
      </w:r>
      <w:r>
        <w:rPr>
          <w:w w:val="105"/>
          <w:sz w:val="21"/>
        </w:rPr>
        <w:t>連する委員会等と連携しながら行う。</w:t>
      </w:r>
      <w:r>
        <w:rPr>
          <w:w w:val="91"/>
          <w:sz w:val="21"/>
        </w:rPr>
        <w:t> </w:t>
      </w:r>
    </w:p>
    <w:p>
      <w:pPr>
        <w:pStyle w:val="BodyText"/>
        <w:spacing w:line="351" w:lineRule="exact"/>
        <w:ind w:left="520"/>
      </w:pPr>
      <w:r>
        <w:rPr/>
        <w:t>２）その他、前条の目的を達成するために必要な業務</w:t>
      </w:r>
      <w:r>
        <w:rPr>
          <w:w w:val="91"/>
        </w:rPr>
        <w:t> </w:t>
      </w:r>
    </w:p>
    <w:p>
      <w:pPr>
        <w:pStyle w:val="BodyText"/>
      </w:pPr>
      <w:r>
        <w:rPr/>
        <w:t>（組織）</w:t>
      </w:r>
      <w:r>
        <w:rPr>
          <w:w w:val="91"/>
        </w:rPr>
        <w:t> </w:t>
      </w:r>
    </w:p>
    <w:p>
      <w:pPr>
        <w:pStyle w:val="BodyText"/>
      </w:pPr>
      <w:r>
        <w:rPr>
          <w:spacing w:val="-5"/>
        </w:rPr>
        <w:t>第 </w:t>
      </w:r>
      <w:r>
        <w:rPr/>
        <w:t>4 条 委員会は定款施行細則第 8</w:t>
      </w:r>
      <w:r>
        <w:rPr>
          <w:spacing w:val="-3"/>
        </w:rPr>
        <w:t> 条に則り委員長、副委員長および委員若干名をもって構成する。</w:t>
      </w:r>
      <w:r>
        <w:rPr>
          <w:w w:val="91"/>
        </w:rPr>
        <w:t> </w:t>
      </w:r>
    </w:p>
    <w:p>
      <w:pPr>
        <w:pStyle w:val="BodyText"/>
        <w:ind w:left="520"/>
      </w:pPr>
      <w:r>
        <w:rPr/>
        <w:t>１）委員長は、委員会の業務を統括する。</w:t>
      </w:r>
      <w:r>
        <w:rPr>
          <w:w w:val="91"/>
        </w:rPr>
        <w:t> </w:t>
      </w:r>
    </w:p>
    <w:p>
      <w:pPr>
        <w:pStyle w:val="BodyText"/>
        <w:ind w:left="520"/>
      </w:pPr>
      <w:r>
        <w:rPr/>
        <w:t>２）副委員長は、委員長を補佐するとともに委員長に事故あるときは委員長の業務を代行する。</w:t>
      </w:r>
      <w:r>
        <w:rPr>
          <w:w w:val="91"/>
        </w:rPr>
        <w:t> </w:t>
      </w:r>
    </w:p>
    <w:p>
      <w:pPr>
        <w:pStyle w:val="BodyText"/>
      </w:pPr>
      <w:r>
        <w:rPr/>
        <w:t>（会議等）</w:t>
      </w:r>
      <w:r>
        <w:rPr>
          <w:w w:val="91"/>
        </w:rPr>
        <w:t> </w:t>
      </w:r>
    </w:p>
    <w:p>
      <w:pPr>
        <w:pStyle w:val="BodyText"/>
      </w:pPr>
      <w:r>
        <w:rPr>
          <w:spacing w:val="-4"/>
        </w:rPr>
        <w:t>第 </w:t>
      </w:r>
      <w:r>
        <w:rPr/>
        <w:t>5 条 会議は必要に応じて開催する。</w:t>
      </w:r>
      <w:r>
        <w:rPr>
          <w:w w:val="91"/>
        </w:rPr>
        <w:t> </w:t>
      </w:r>
    </w:p>
    <w:p>
      <w:pPr>
        <w:pStyle w:val="BodyText"/>
        <w:ind w:left="520"/>
      </w:pPr>
      <w:r>
        <w:rPr/>
        <w:t>１）インターネットによるメール審議あるいはネット会議を主体とする。</w:t>
      </w:r>
      <w:r>
        <w:rPr>
          <w:w w:val="91"/>
        </w:rPr>
        <w:t> </w:t>
      </w:r>
    </w:p>
    <w:p>
      <w:pPr>
        <w:pStyle w:val="BodyText"/>
        <w:spacing w:line="218" w:lineRule="auto" w:before="5"/>
        <w:ind w:left="940" w:right="213" w:hanging="420"/>
      </w:pPr>
      <w:r>
        <w:rPr/>
        <w:t>２）メール審議あるいはネット会議では発議のメールに返信したことで出席とし、委員の半数 以上の参加をもって会議の成立とする。</w:t>
      </w:r>
      <w:r>
        <w:rPr>
          <w:w w:val="91"/>
        </w:rPr>
        <w:t> </w:t>
      </w:r>
    </w:p>
    <w:p>
      <w:pPr>
        <w:pStyle w:val="BodyText"/>
        <w:spacing w:line="351" w:lineRule="exact"/>
        <w:ind w:left="520"/>
      </w:pPr>
      <w:r>
        <w:rPr/>
        <w:t>３）議決は会議に参加した委員全員の合議とする。</w:t>
      </w:r>
      <w:r>
        <w:rPr>
          <w:w w:val="91"/>
        </w:rPr>
        <w:t> </w:t>
      </w:r>
    </w:p>
    <w:p>
      <w:pPr>
        <w:pStyle w:val="BodyText"/>
        <w:ind w:left="520"/>
      </w:pPr>
      <w:r>
        <w:rPr/>
        <w:t>４）委員長は会議を進行する。</w:t>
      </w:r>
      <w:r>
        <w:rPr>
          <w:w w:val="91"/>
        </w:rPr>
        <w:t> </w:t>
      </w:r>
    </w:p>
    <w:p>
      <w:pPr>
        <w:pStyle w:val="BodyText"/>
      </w:pPr>
      <w:r>
        <w:rPr/>
        <w:t>（任期）</w:t>
      </w:r>
      <w:r>
        <w:rPr>
          <w:w w:val="91"/>
        </w:rPr>
        <w:t> </w:t>
      </w:r>
    </w:p>
    <w:p>
      <w:pPr>
        <w:pStyle w:val="BodyText"/>
      </w:pPr>
      <w:r>
        <w:rPr>
          <w:spacing w:val="-4"/>
        </w:rPr>
        <w:t>第 </w:t>
      </w:r>
      <w:r>
        <w:rPr/>
        <w:t>6</w:t>
      </w:r>
      <w:r>
        <w:rPr>
          <w:spacing w:val="-1"/>
        </w:rPr>
        <w:t> 条 委員長・副委員長・委員の任期は定款施行細則第 </w:t>
      </w:r>
      <w:r>
        <w:rPr/>
        <w:t>8</w:t>
      </w:r>
      <w:r>
        <w:rPr>
          <w:spacing w:val="-3"/>
        </w:rPr>
        <w:t> 条に従う。</w:t>
      </w:r>
      <w:r>
        <w:rPr>
          <w:w w:val="91"/>
        </w:rPr>
        <w:t> </w:t>
      </w:r>
    </w:p>
    <w:p>
      <w:pPr>
        <w:pStyle w:val="BodyText"/>
      </w:pPr>
      <w:r>
        <w:rPr/>
        <w:t>（委員会内規）</w:t>
      </w:r>
      <w:r>
        <w:rPr>
          <w:w w:val="91"/>
        </w:rPr>
        <w:t> </w:t>
      </w:r>
    </w:p>
    <w:p>
      <w:pPr>
        <w:pStyle w:val="BodyText"/>
      </w:pPr>
      <w:r>
        <w:rPr>
          <w:spacing w:val="-5"/>
        </w:rPr>
        <w:t>第 </w:t>
      </w:r>
      <w:r>
        <w:rPr/>
        <w:t>7 条 委員会業務を遂行するための内規を別途定める場合は、理事会での承認を必要とする。</w:t>
      </w:r>
      <w:r>
        <w:rPr>
          <w:w w:val="91"/>
        </w:rPr>
        <w:t> </w:t>
      </w:r>
    </w:p>
    <w:p>
      <w:pPr>
        <w:pStyle w:val="BodyText"/>
      </w:pPr>
      <w:r>
        <w:rPr>
          <w:w w:val="91"/>
        </w:rPr>
        <w:t> </w:t>
      </w:r>
    </w:p>
    <w:p>
      <w:pPr>
        <w:pStyle w:val="BodyText"/>
      </w:pPr>
      <w:r>
        <w:rPr>
          <w:w w:val="91"/>
        </w:rPr>
        <w:t> </w:t>
      </w:r>
    </w:p>
    <w:p>
      <w:pPr>
        <w:pStyle w:val="BodyText"/>
        <w:spacing w:line="379" w:lineRule="exact"/>
      </w:pPr>
      <w:r>
        <w:rPr>
          <w:w w:val="91"/>
        </w:rPr>
        <w:t> </w:t>
      </w:r>
    </w:p>
    <w:p>
      <w:pPr>
        <w:pStyle w:val="BodyText"/>
        <w:ind w:left="5472"/>
      </w:pPr>
      <w:r>
        <w:rPr>
          <w:spacing w:val="-3"/>
        </w:rPr>
        <w:t>この規程は </w:t>
      </w:r>
      <w:r>
        <w:rPr/>
        <w:t>2023</w:t>
      </w:r>
      <w:r>
        <w:rPr>
          <w:spacing w:val="-9"/>
        </w:rPr>
        <w:t> 年 </w:t>
      </w:r>
      <w:r>
        <w:rPr/>
        <w:t>12</w:t>
      </w:r>
      <w:r>
        <w:rPr>
          <w:spacing w:val="-10"/>
        </w:rPr>
        <w:t> 月 </w:t>
      </w:r>
      <w:r>
        <w:rPr/>
        <w:t>22</w:t>
      </w:r>
      <w:r>
        <w:rPr>
          <w:spacing w:val="-4"/>
        </w:rPr>
        <w:t> 日より施行する。</w:t>
      </w:r>
      <w:r>
        <w:rPr>
          <w:w w:val="91"/>
        </w:rPr>
        <w:t> </w:t>
      </w:r>
    </w:p>
    <w:sectPr>
      <w:type w:val="continuous"/>
      <w:pgSz w:w="11910" w:h="16840"/>
      <w:pgMar w:top="1420" w:bottom="280" w:left="98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Yu Gothic">
    <w:altName w:val="Yu Gothic"/>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38" w:hanging="299"/>
        <w:jc w:val="left"/>
      </w:pPr>
      <w:rPr>
        <w:rFonts w:hint="default" w:ascii="Yu Gothic" w:hAnsi="Yu Gothic" w:eastAsia="Yu Gothic" w:cs="Yu Gothic"/>
        <w:spacing w:val="-3"/>
        <w:w w:val="98"/>
        <w:sz w:val="19"/>
        <w:szCs w:val="19"/>
        <w:lang w:val="en-US" w:eastAsia="ja-JP" w:bidi="ar-SA"/>
      </w:rPr>
    </w:lvl>
    <w:lvl w:ilvl="1">
      <w:start w:val="0"/>
      <w:numFmt w:val="bullet"/>
      <w:lvlText w:val="•"/>
      <w:lvlJc w:val="left"/>
      <w:pPr>
        <w:ind w:left="2122" w:hanging="299"/>
      </w:pPr>
      <w:rPr>
        <w:rFonts w:hint="default"/>
        <w:lang w:val="en-US" w:eastAsia="ja-JP" w:bidi="ar-SA"/>
      </w:rPr>
    </w:lvl>
    <w:lvl w:ilvl="2">
      <w:start w:val="0"/>
      <w:numFmt w:val="bullet"/>
      <w:lvlText w:val="•"/>
      <w:lvlJc w:val="left"/>
      <w:pPr>
        <w:ind w:left="3005" w:hanging="299"/>
      </w:pPr>
      <w:rPr>
        <w:rFonts w:hint="default"/>
        <w:lang w:val="en-US" w:eastAsia="ja-JP" w:bidi="ar-SA"/>
      </w:rPr>
    </w:lvl>
    <w:lvl w:ilvl="3">
      <w:start w:val="0"/>
      <w:numFmt w:val="bullet"/>
      <w:lvlText w:val="•"/>
      <w:lvlJc w:val="left"/>
      <w:pPr>
        <w:ind w:left="3887" w:hanging="299"/>
      </w:pPr>
      <w:rPr>
        <w:rFonts w:hint="default"/>
        <w:lang w:val="en-US" w:eastAsia="ja-JP" w:bidi="ar-SA"/>
      </w:rPr>
    </w:lvl>
    <w:lvl w:ilvl="4">
      <w:start w:val="0"/>
      <w:numFmt w:val="bullet"/>
      <w:lvlText w:val="•"/>
      <w:lvlJc w:val="left"/>
      <w:pPr>
        <w:ind w:left="4770" w:hanging="299"/>
      </w:pPr>
      <w:rPr>
        <w:rFonts w:hint="default"/>
        <w:lang w:val="en-US" w:eastAsia="ja-JP" w:bidi="ar-SA"/>
      </w:rPr>
    </w:lvl>
    <w:lvl w:ilvl="5">
      <w:start w:val="0"/>
      <w:numFmt w:val="bullet"/>
      <w:lvlText w:val="•"/>
      <w:lvlJc w:val="left"/>
      <w:pPr>
        <w:ind w:left="5653" w:hanging="299"/>
      </w:pPr>
      <w:rPr>
        <w:rFonts w:hint="default"/>
        <w:lang w:val="en-US" w:eastAsia="ja-JP" w:bidi="ar-SA"/>
      </w:rPr>
    </w:lvl>
    <w:lvl w:ilvl="6">
      <w:start w:val="0"/>
      <w:numFmt w:val="bullet"/>
      <w:lvlText w:val="•"/>
      <w:lvlJc w:val="left"/>
      <w:pPr>
        <w:ind w:left="6535" w:hanging="299"/>
      </w:pPr>
      <w:rPr>
        <w:rFonts w:hint="default"/>
        <w:lang w:val="en-US" w:eastAsia="ja-JP" w:bidi="ar-SA"/>
      </w:rPr>
    </w:lvl>
    <w:lvl w:ilvl="7">
      <w:start w:val="0"/>
      <w:numFmt w:val="bullet"/>
      <w:lvlText w:val="•"/>
      <w:lvlJc w:val="left"/>
      <w:pPr>
        <w:ind w:left="7418" w:hanging="299"/>
      </w:pPr>
      <w:rPr>
        <w:rFonts w:hint="default"/>
        <w:lang w:val="en-US" w:eastAsia="ja-JP" w:bidi="ar-SA"/>
      </w:rPr>
    </w:lvl>
    <w:lvl w:ilvl="8">
      <w:start w:val="0"/>
      <w:numFmt w:val="bullet"/>
      <w:lvlText w:val="•"/>
      <w:lvlJc w:val="left"/>
      <w:pPr>
        <w:ind w:left="8301" w:hanging="299"/>
      </w:pPr>
      <w:rPr>
        <w:rFonts w:hint="default"/>
        <w:lang w:val="en-US" w:eastAsia="ja-JP"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Yu Gothic" w:hAnsi="Yu Gothic" w:eastAsia="Yu Gothic" w:cs="Yu Gothic"/>
      <w:lang w:val="en-US" w:eastAsia="ja-JP" w:bidi="ar-SA"/>
    </w:rPr>
  </w:style>
  <w:style w:styleId="BodyText" w:type="paragraph">
    <w:name w:val="Body Text"/>
    <w:basedOn w:val="Normal"/>
    <w:uiPriority w:val="1"/>
    <w:qFormat/>
    <w:pPr>
      <w:spacing w:line="360" w:lineRule="exact"/>
      <w:ind w:left="100"/>
    </w:pPr>
    <w:rPr>
      <w:rFonts w:ascii="Yu Gothic" w:hAnsi="Yu Gothic" w:eastAsia="Yu Gothic" w:cs="Yu Gothic"/>
      <w:sz w:val="21"/>
      <w:szCs w:val="21"/>
      <w:lang w:val="en-US" w:eastAsia="ja-JP" w:bidi="ar-SA"/>
    </w:rPr>
  </w:style>
  <w:style w:styleId="ListParagraph" w:type="paragraph">
    <w:name w:val="List Paragraph"/>
    <w:basedOn w:val="Normal"/>
    <w:uiPriority w:val="1"/>
    <w:qFormat/>
    <w:pPr>
      <w:ind w:left="1238" w:hanging="315"/>
    </w:pPr>
    <w:rPr>
      <w:rFonts w:ascii="Yu Gothic" w:hAnsi="Yu Gothic" w:eastAsia="Yu Gothic" w:cs="Yu Gothic"/>
      <w:lang w:val="en-US" w:eastAsia="ja-JP" w:bidi="ar-SA"/>
    </w:rPr>
  </w:style>
  <w:style w:styleId="TableParagraph" w:type="paragraph">
    <w:name w:val="Table Paragraph"/>
    <w:basedOn w:val="Normal"/>
    <w:uiPriority w:val="1"/>
    <w:qFormat/>
    <w:pPr/>
    <w:rPr>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JCCG</dc:creator>
  <dc:title>zaimukiban_ver1.0</dc:title>
  <dcterms:created xsi:type="dcterms:W3CDTF">2024-09-26T07:57:33Z</dcterms:created>
  <dcterms:modified xsi:type="dcterms:W3CDTF">2024-09-26T07:57:33Z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Microsoft® Word for Microsoft 365</vt:lpwstr>
  </property>
  <property fmtid="{D5CDD505-2E9C-101B-9397-08002B2CF9AE}" pid="4" name="LastSaved">
    <vt:filetime>2024-09-26T00:00:00Z</vt:filetime>
  </property>
</Properties>
</file>